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840" w:lineRule="atLeast"/>
        <w:ind w:left="0" w:right="0" w:firstLine="0"/>
        <w:jc w:val="center"/>
        <w:rPr>
          <w:rFonts w:hint="eastAsia" w:ascii="微软雅黑" w:hAnsi="微软雅黑" w:eastAsia="微软雅黑" w:cs="微软雅黑"/>
          <w:b w:val="0"/>
          <w:i w:val="0"/>
          <w:caps w:val="0"/>
          <w:color w:val="333333"/>
          <w:spacing w:val="0"/>
          <w:sz w:val="57"/>
          <w:szCs w:val="57"/>
        </w:rPr>
      </w:pPr>
      <w:bookmarkStart w:id="0" w:name="_GoBack"/>
      <w:r>
        <w:rPr>
          <w:rFonts w:hint="eastAsia" w:ascii="微软雅黑" w:hAnsi="微软雅黑" w:eastAsia="微软雅黑" w:cs="微软雅黑"/>
          <w:b w:val="0"/>
          <w:i w:val="0"/>
          <w:caps w:val="0"/>
          <w:color w:val="333333"/>
          <w:spacing w:val="0"/>
          <w:sz w:val="57"/>
          <w:szCs w:val="57"/>
          <w:bdr w:val="none" w:color="auto" w:sz="0" w:space="0"/>
          <w:shd w:val="clear" w:fill="FFFFFF"/>
        </w:rPr>
        <w:t>中共中央办公厅印发《2019－2023年全国党员教育培训工作规划》</w:t>
      </w:r>
    </w:p>
    <w:bookmarkEnd w:id="0"/>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898989"/>
          <w:spacing w:val="0"/>
          <w:sz w:val="21"/>
          <w:szCs w:val="21"/>
        </w:rPr>
      </w:pPr>
      <w:r>
        <w:rPr>
          <w:rFonts w:hint="eastAsia" w:ascii="宋体" w:hAnsi="宋体" w:eastAsia="宋体" w:cs="宋体"/>
          <w:i w:val="0"/>
          <w:caps w:val="0"/>
          <w:color w:val="000000"/>
          <w:spacing w:val="0"/>
          <w:kern w:val="0"/>
          <w:sz w:val="21"/>
          <w:szCs w:val="21"/>
          <w:u w:val="none"/>
          <w:bdr w:val="none" w:color="auto" w:sz="0" w:space="0"/>
          <w:shd w:val="clear" w:fill="FFFFFF"/>
          <w:lang w:val="en-US" w:eastAsia="zh-CN" w:bidi="ar"/>
        </w:rPr>
        <w:fldChar w:fldCharType="begin"/>
      </w:r>
      <w:r>
        <w:rPr>
          <w:rFonts w:hint="eastAsia" w:ascii="宋体" w:hAnsi="宋体" w:eastAsia="宋体" w:cs="宋体"/>
          <w:i w:val="0"/>
          <w:caps w:val="0"/>
          <w:color w:val="000000"/>
          <w:spacing w:val="0"/>
          <w:kern w:val="0"/>
          <w:sz w:val="21"/>
          <w:szCs w:val="21"/>
          <w:u w:val="none"/>
          <w:bdr w:val="none" w:color="auto" w:sz="0" w:space="0"/>
          <w:shd w:val="clear" w:fill="FFFFFF"/>
          <w:lang w:val="en-US" w:eastAsia="zh-CN" w:bidi="ar"/>
        </w:rPr>
        <w:instrText xml:space="preserve"> HYPERLINK "http://share.gwd.gov.cn/" \t "http://www.gov.cn/zhengce/2019-11/11/_blank" </w:instrText>
      </w:r>
      <w:r>
        <w:rPr>
          <w:rFonts w:hint="eastAsia" w:ascii="宋体" w:hAnsi="宋体" w:eastAsia="宋体" w:cs="宋体"/>
          <w:i w:val="0"/>
          <w:caps w:val="0"/>
          <w:color w:val="000000"/>
          <w:spacing w:val="0"/>
          <w:kern w:val="0"/>
          <w:sz w:val="21"/>
          <w:szCs w:val="21"/>
          <w:u w:val="none"/>
          <w:bdr w:val="none" w:color="auto" w:sz="0" w:space="0"/>
          <w:shd w:val="clear" w:fill="FFFFFF"/>
          <w:lang w:val="en-US" w:eastAsia="zh-CN" w:bidi="ar"/>
        </w:rPr>
        <w:fldChar w:fldCharType="separate"/>
      </w:r>
      <w:r>
        <w:rPr>
          <w:rFonts w:hint="eastAsia" w:ascii="宋体" w:hAnsi="宋体" w:eastAsia="宋体" w:cs="宋体"/>
          <w:i w:val="0"/>
          <w:caps w:val="0"/>
          <w:color w:val="000000"/>
          <w:spacing w:val="0"/>
          <w:kern w:val="0"/>
          <w:sz w:val="21"/>
          <w:szCs w:val="21"/>
          <w:u w:val="none"/>
          <w:bdr w:val="none" w:color="auto" w:sz="0" w:space="0"/>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898989"/>
          <w:spacing w:val="0"/>
          <w:sz w:val="21"/>
          <w:szCs w:val="21"/>
        </w:rPr>
      </w:pPr>
      <w:r>
        <w:rPr>
          <w:rFonts w:hint="eastAsia" w:ascii="宋体" w:hAnsi="宋体" w:eastAsia="宋体" w:cs="宋体"/>
          <w:i w:val="0"/>
          <w:caps w:val="0"/>
          <w:color w:val="000000"/>
          <w:spacing w:val="0"/>
          <w:kern w:val="0"/>
          <w:sz w:val="21"/>
          <w:szCs w:val="21"/>
          <w:u w:val="none"/>
          <w:bdr w:val="none" w:color="auto" w:sz="0" w:space="0"/>
          <w:shd w:val="clear" w:fill="FFFFFF"/>
          <w:lang w:val="en-US" w:eastAsia="zh-CN" w:bidi="ar"/>
        </w:rPr>
        <w:fldChar w:fldCharType="begin"/>
      </w:r>
      <w:r>
        <w:rPr>
          <w:rFonts w:hint="eastAsia" w:ascii="宋体" w:hAnsi="宋体" w:eastAsia="宋体" w:cs="宋体"/>
          <w:i w:val="0"/>
          <w:caps w:val="0"/>
          <w:color w:val="000000"/>
          <w:spacing w:val="0"/>
          <w:kern w:val="0"/>
          <w:sz w:val="21"/>
          <w:szCs w:val="21"/>
          <w:u w:val="none"/>
          <w:bdr w:val="none" w:color="auto" w:sz="0" w:space="0"/>
          <w:shd w:val="clear" w:fill="FFFFFF"/>
          <w:lang w:val="en-US" w:eastAsia="zh-CN" w:bidi="ar"/>
        </w:rPr>
        <w:instrText xml:space="preserve"> HYPERLINK "http://www.gov.cn/zhengce/2019-11/11/content_5450978.htm" \o "微信" </w:instrText>
      </w:r>
      <w:r>
        <w:rPr>
          <w:rFonts w:hint="eastAsia" w:ascii="宋体" w:hAnsi="宋体" w:eastAsia="宋体" w:cs="宋体"/>
          <w:i w:val="0"/>
          <w:caps w:val="0"/>
          <w:color w:val="000000"/>
          <w:spacing w:val="0"/>
          <w:kern w:val="0"/>
          <w:sz w:val="21"/>
          <w:szCs w:val="21"/>
          <w:u w:val="none"/>
          <w:bdr w:val="none" w:color="auto" w:sz="0" w:space="0"/>
          <w:shd w:val="clear" w:fill="FFFFFF"/>
          <w:lang w:val="en-US" w:eastAsia="zh-CN" w:bidi="ar"/>
        </w:rPr>
        <w:fldChar w:fldCharType="separate"/>
      </w:r>
      <w:r>
        <w:rPr>
          <w:rStyle w:val="6"/>
          <w:rFonts w:hint="eastAsia" w:ascii="宋体" w:hAnsi="宋体" w:eastAsia="宋体" w:cs="宋体"/>
          <w:i w:val="0"/>
          <w:caps w:val="0"/>
          <w:color w:val="000000"/>
          <w:spacing w:val="0"/>
          <w:sz w:val="21"/>
          <w:szCs w:val="21"/>
          <w:u w:val="none"/>
          <w:bdr w:val="none" w:color="auto" w:sz="0" w:space="0"/>
          <w:shd w:val="clear" w:fill="FFFFFF"/>
        </w:rPr>
        <w:t> </w:t>
      </w:r>
      <w:r>
        <w:rPr>
          <w:rFonts w:hint="eastAsia" w:ascii="宋体" w:hAnsi="宋体" w:eastAsia="宋体" w:cs="宋体"/>
          <w:i w:val="0"/>
          <w:caps w:val="0"/>
          <w:color w:val="000000"/>
          <w:spacing w:val="0"/>
          <w:kern w:val="0"/>
          <w:sz w:val="21"/>
          <w:szCs w:val="21"/>
          <w:u w:val="none"/>
          <w:bdr w:val="none" w:color="auto" w:sz="0" w:space="0"/>
          <w:shd w:val="clear" w:fill="FFFFFF"/>
          <w:lang w:val="en-US" w:eastAsia="zh-CN" w:bidi="ar"/>
        </w:rPr>
        <w:fldChar w:fldCharType="end"/>
      </w:r>
      <w:r>
        <w:rPr>
          <w:rFonts w:hint="eastAsia" w:ascii="宋体" w:hAnsi="宋体" w:eastAsia="宋体" w:cs="宋体"/>
          <w:i w:val="0"/>
          <w:caps w:val="0"/>
          <w:color w:val="000000"/>
          <w:spacing w:val="0"/>
          <w:kern w:val="0"/>
          <w:sz w:val="21"/>
          <w:szCs w:val="21"/>
          <w:u w:val="none"/>
          <w:bdr w:val="none" w:color="auto" w:sz="0" w:space="0"/>
          <w:shd w:val="clear" w:fill="FFFFFF"/>
          <w:lang w:val="en-US" w:eastAsia="zh-CN" w:bidi="ar"/>
        </w:rPr>
        <w:fldChar w:fldCharType="begin"/>
      </w:r>
      <w:r>
        <w:rPr>
          <w:rFonts w:hint="eastAsia" w:ascii="宋体" w:hAnsi="宋体" w:eastAsia="宋体" w:cs="宋体"/>
          <w:i w:val="0"/>
          <w:caps w:val="0"/>
          <w:color w:val="000000"/>
          <w:spacing w:val="0"/>
          <w:kern w:val="0"/>
          <w:sz w:val="21"/>
          <w:szCs w:val="21"/>
          <w:u w:val="none"/>
          <w:bdr w:val="none" w:color="auto" w:sz="0" w:space="0"/>
          <w:shd w:val="clear" w:fill="FFFFFF"/>
          <w:lang w:val="en-US" w:eastAsia="zh-CN" w:bidi="ar"/>
        </w:rPr>
        <w:instrText xml:space="preserve"> HYPERLINK "http://www.gov.cn/zhengce/2019-11/11/content_5450978.htm" \o "新浪微博" </w:instrText>
      </w:r>
      <w:r>
        <w:rPr>
          <w:rFonts w:hint="eastAsia" w:ascii="宋体" w:hAnsi="宋体" w:eastAsia="宋体" w:cs="宋体"/>
          <w:i w:val="0"/>
          <w:caps w:val="0"/>
          <w:color w:val="000000"/>
          <w:spacing w:val="0"/>
          <w:kern w:val="0"/>
          <w:sz w:val="21"/>
          <w:szCs w:val="21"/>
          <w:u w:val="none"/>
          <w:bdr w:val="none" w:color="auto" w:sz="0" w:space="0"/>
          <w:shd w:val="clear" w:fill="FFFFFF"/>
          <w:lang w:val="en-US" w:eastAsia="zh-CN" w:bidi="ar"/>
        </w:rPr>
        <w:fldChar w:fldCharType="separate"/>
      </w:r>
      <w:r>
        <w:rPr>
          <w:rStyle w:val="6"/>
          <w:rFonts w:hint="eastAsia" w:ascii="宋体" w:hAnsi="宋体" w:eastAsia="宋体" w:cs="宋体"/>
          <w:i w:val="0"/>
          <w:caps w:val="0"/>
          <w:color w:val="000000"/>
          <w:spacing w:val="0"/>
          <w:sz w:val="21"/>
          <w:szCs w:val="21"/>
          <w:u w:val="none"/>
          <w:bdr w:val="none" w:color="auto" w:sz="0" w:space="0"/>
          <w:shd w:val="clear" w:fill="FFFFFF"/>
        </w:rPr>
        <w:t> </w:t>
      </w:r>
      <w:r>
        <w:rPr>
          <w:rFonts w:hint="eastAsia" w:ascii="宋体" w:hAnsi="宋体" w:eastAsia="宋体" w:cs="宋体"/>
          <w:i w:val="0"/>
          <w:caps w:val="0"/>
          <w:color w:val="000000"/>
          <w:spacing w:val="0"/>
          <w:kern w:val="0"/>
          <w:sz w:val="21"/>
          <w:szCs w:val="21"/>
          <w:u w:val="none"/>
          <w:bdr w:val="none" w:color="auto" w:sz="0" w:space="0"/>
          <w:shd w:val="clear" w:fill="FFFFFF"/>
          <w:lang w:val="en-US" w:eastAsia="zh-CN" w:bidi="ar"/>
        </w:rPr>
        <w:fldChar w:fldCharType="end"/>
      </w:r>
      <w:r>
        <w:rPr>
          <w:rFonts w:hint="eastAsia" w:ascii="宋体" w:hAnsi="宋体" w:eastAsia="宋体" w:cs="宋体"/>
          <w:i w:val="0"/>
          <w:caps w:val="0"/>
          <w:color w:val="898989"/>
          <w:spacing w:val="0"/>
          <w:kern w:val="0"/>
          <w:sz w:val="21"/>
          <w:szCs w:val="21"/>
          <w:bdr w:val="none" w:color="auto" w:sz="0" w:space="0"/>
          <w:shd w:val="clear" w:fill="FFFFFF"/>
          <w:lang w:val="en-US" w:eastAsia="zh-CN" w:bidi="ar"/>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新华社北京11月11日电 近日，中共中央办公厅印发了《2019－2023年全国党员教育培训工作规划》，并发出通知，要求各地区各部门结合实际认真贯彻落实。</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《2019－2023年全国党员教育培训工作规划》全文如下。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为深入学习贯彻习近平新时代中国特色社会主义思想和党的十九大精神，切实提高党员教育培训工作质量，推进马克思主义学习型政党建设，根据《中国共产党章程》和有关党内法规，制定本规划。</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i w:val="0"/>
          <w:caps w:val="0"/>
          <w:color w:val="333333"/>
          <w:spacing w:val="0"/>
          <w:sz w:val="24"/>
          <w:szCs w:val="24"/>
          <w:bdr w:val="none" w:color="auto" w:sz="0" w:space="0"/>
          <w:shd w:val="clear" w:fill="FFFFFF"/>
        </w:rPr>
        <w:t>一、总体要求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党员教育培训工作，以马克思列宁主义、毛泽东思想、邓小平理论、“三个代表”重要思想、科学发展观、习近平新时代中国特色社会主义思想为指导，认真落实新时代党的建设总要求，把学习贯彻习近平新时代中国特色社会主义思想作为首要政治任务，以坚定信仰、增强党性、提高素质为重点，坚持思想建党、理论强党、从严治党，坚持围绕中心、服务大局，坚持分类指导、按需施教，坚持联系实际、继承创新，坚持简便易行、务实管用，不断增强针对性和有效性，引导党员增强“四个意识”、坚定“四个自信”、做到“两个维护”，努力建设政治合格、执行纪律合格、品德合格、发挥作用合格的党员队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从2019年开始，用5年时间，有计划分层次高质量开展党员教育培训，把全体党员普遍轮训一遍，实现以下工作目标。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习近平新时代中国特色社会主义思想学习教育更加扎实深入，党的创新理论更加入脑入心，广大党员自觉践行新思想、适应新时代、展现新作为，在习近平新时代中国特色社会主义思想指引下，统一意志、统一行动、步调一致向前进。</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——教育培训效果更加显著，广大党员理想信念进一步坚定、党性观念进一步增强、宗旨意识进一步强化、能力素质进一步提升、纪律作风进一步过硬、先锋模范作用进一步发挥。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——新时代党员教育培训体系更加健全，集中培训逐步走向常态，日常教育更加规范，推动形成教育和管理、监督、服务有机结合的党员队伍建设工作链条。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i w:val="0"/>
          <w:caps w:val="0"/>
          <w:color w:val="333333"/>
          <w:spacing w:val="0"/>
          <w:sz w:val="24"/>
          <w:szCs w:val="24"/>
          <w:bdr w:val="none" w:color="auto" w:sz="0" w:space="0"/>
          <w:shd w:val="clear" w:fill="FFFFFF"/>
        </w:rPr>
        <w:t>二、习近平新时代中国特色社会主义思想教育培训</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一）把学习贯彻习近平新时代中国特色社会主义思想作为首要政治任务。各级党组织要将习近平新时代中国特色社会主义思想学习教育摆在党员教育培训最突出位置，县级以上党委每年制定学习计划，列出必读书目和篇目，明确学习要求，基层党组织要结合党员日常教育管理认真抓好落实。党员教育培训机构要将习近平新时代中国特色社会主义思想作为主课，全面纳入教学计划和教学布局。党员要把习近平新时代中国特色社会主义思想作为必修课，读原著、学原文、悟原理，深刻理解习近平新时代中国特色社会主义思想的重大意义、科学体系、丰富内涵、精神实质、实践要求，掌握贯穿其中的马克思主义立场观点方法，增强政治自觉、理论自信、情感融入，做到真学真懂真信真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二）建立健全习近平新时代中国特色社会主义思想学习教育长效机制。以习近平新时代中国特色社会主义思想为中心内容，建立较为完备的课程体系。加强理论教育特点和规律的研究，开发一批学习贯彻习近平新时代中国特色社会主义思想的教学案例和现场教学点。通过专题讲座、报告会、学习论坛等多种形式进行深入浅出的解读阐述，领导干部要结合分管领域、分管工作带头宣讲。发挥“两微一端”等新媒体优势，组织党员在线学习。注重发挥党支部直接教育党员的作用，落实“三会一课”等制度，对党员开展经常性教育。健全理论学习考核评估制度，采取有效措施激发党员学习热情，推动学习教育往深里走、往心里走、往实里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三）引导党员自觉做习近平新时代中国特色社会主义思想坚定信仰者和忠实实践者。弘扬理论联系实际的马克思主义学风，引导党员把自己摆进去、把职责摆进去、把工作摆进去，对照习近平新时代中国特色社会主义思想检视思想言行，做到学思用贯通、知信行统一。引导党员结合岗位职责，认真学习贯彻习近平总书记关于本部门本行业本领域工作的重要论述和重要指示批示精神，提高运用科学理论解决实际问题能力，更好推动事业发展。大力选树和宣传学懂弄通做实的先进典型，引导党员自觉用习近平新时代中国特色社会主义思想武装头脑、指导实践、推动工作。党员领导干部应当坚持更高标准、更严要求，带头学习实践习近平新时代中国特色社会主义思想。</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i w:val="0"/>
          <w:caps w:val="0"/>
          <w:color w:val="333333"/>
          <w:spacing w:val="0"/>
          <w:sz w:val="24"/>
          <w:szCs w:val="24"/>
          <w:bdr w:val="none" w:color="auto" w:sz="0" w:space="0"/>
          <w:shd w:val="clear" w:fill="FFFFFF"/>
        </w:rPr>
        <w:t>三、党员教育培训主要内容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一）聚焦基本任务。根据《中国共产党党员教育管理工作条例》，适应新时代党员队伍建设需要，突出政治功能，切实抓好习近平新时代中国特色社会主义思想教育培训，全面落实政治理论教育、政治教育和政治训练、党章党规党纪教育、党的宗旨教育、革命传统教育、形势政策教育、知识技能教育等7个方面基本任务，把党性教育和理想信念教育贯穿始终，以坚持和完善中国特色社会主义制度、推进国家治理体系和治理能力现代化为目标，对党员进行系统教育培训。</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二）围绕中心工作。着眼统筹推进“五位一体”总体布局和协调推进“四个全面”战略布局，紧扣今后5年党和国家重大决策部署、重要会议活动、重要时间节点，有针对性地开展党员教育培训。结合“不忘初心、牢记使命”主题教育，重点加强党的创新理论、理想信念、政治纪律和政治规矩等教育培训；围绕贯彻落实新发展理念、实施七大战略、打好三大攻坚战等，重点加强党的路线方针政策、世情国情党情、总体国家安全观等教育培训；聚焦全面建成小康社会、中国共产党成立100周年，重点加强党史、新中国史，党的优良传统、中华优秀传统文化，社会主义核心价值观、爱国主义等教育培训，引导党员把思想和行动统一到党中央决策部署上来，始终保持奋斗精神和革命精神，敢于斗争、善于斗争，在时代大潮中建功立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三）体现不同领域和群体特点。在农村，重点围绕贯彻落实习近平总书记关于“三农”工作的重要论述、打赢脱贫攻坚战、实施乡村振兴战略、推进农业农村现代化开展党员教育培训。在街道社区，重点围绕巩固党在城市执政基础、加强城市治理、服务社区群众、建设美好家园开展党员教育培训。在机关，重点围绕建设让党中央放心、让人民群众满意的模范机关开展党员教育培训。在事业单位，重点围绕深化改革、提高绩效、促进事业发展开展党员教育培训，学校重点围绕坚持马克思主义指导地位、落实立德树人根本任务、培养社会主义建设者和接班人开展党员教育培训。在国有企业，重点围绕加强党对国有企业的领导、深化国有企业改革、实现国有资产保值增值开展党员教育培训。在非公有制经济组织，重点围绕贯彻党的方针政策、严格遵守国家法律法规、团结凝聚职工群众、维护各方合法权益、促进企业健康发展开展党员教育培训。在社会组织，重点围绕坚持正确政治方向、有序参与社会治理、提供公共服务、承担社会责任开展党员教育培训。民族地区要重点围绕贯彻党的民族政策、做好民族工作，对党员加强党的意识、中华民族共同体意识和马克思主义国家观、历史观、民族观、文化观、宗教观等教育培训。</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对基层党组织书记，重点开展党的创新理论、党建工作实务、群众工作、基层治理等教育培训，努力建设一支守信念、讲奉献、有本领、重品行的基层党组织带头人队伍。对新党员，重点开展党的基本知识、党性党风党纪、党的优良传统等教育培训，强化思想入党，提升他们的政治觉悟和理论素养。对青年党员，要进行系统理论教育和严格党性锻炼，引导他们传承红色基因、培养奋斗精神、练就过硬本领。对老年党员，重点开展党的创新理论、形势政策等教育培训，引导他们保持革命本色、发挥传帮带作用。对流动党员，重点开展党员意识、组织观念、纪律规矩等教育培训，引导他们主动接受党组织的教育管理，自觉参加组织生活，充分发挥作用。对下岗失业人员中的党员，要将党的理论教育和党性教育与开展政策学习和技能培训结合起来，帮助他们增强就业创业信心和能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i w:val="0"/>
          <w:caps w:val="0"/>
          <w:color w:val="333333"/>
          <w:spacing w:val="0"/>
          <w:sz w:val="24"/>
          <w:szCs w:val="24"/>
          <w:bdr w:val="none" w:color="auto" w:sz="0" w:space="0"/>
          <w:shd w:val="clear" w:fill="FFFFFF"/>
        </w:rPr>
        <w:t>四、党员教育培训方式方法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一）完善组织形式。坚持集中培训、集体学习、个人自学和组织生活、实践锻炼有机结合，增强党员教育培训工作的规范性、针对性、系统性。要结合实际，研究确定重点项目、对象和专题，采取省级示范培训、市级重点培训、县级普遍培训、基层党委兜底培训的形式，开展党员集中培训。中央组织部要会同有关部门每年举办全国党员教育培训示范班。各级党组织要通过理论学习中心组学习、“三会一课”、主题党日等，抓实集体学习。党员领导干部要定期为基层党员讲党课。引导党员根据自身实际和工作需要，利用业余时间开展自学。坚持民主生活会和组织生活会、民主评议党员、谈心谈话等制度，认真开展批评和自我批评，咬耳扯袖、红脸出汗，让党的组织生活真正起到教育提高党员的作用。通过设岗定责、承诺践诺，引导党员立足岗位、创先争优。鼓励和引导党员参与结对帮扶、志愿服务等，为党员搭建实践锻炼平台。注重心理疏导和人文关怀，帮助解决实际问题，增强党员政治荣誉感、组织归属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二）丰富教学方式。灵活运用讲授式、研讨式、模拟式、互动式、观摩式、体验式等教学方法，探索“课堂+基地”实训模式，增强教育培训的吸引力感染力。加强案例培训，选好用好各条战线各个领域各个行业的生动鲜活案例。开展典型教育，引导党员学习重大先进典型和身边榜样，运用反面教材加强警示教育。组织党员就近就便到红色基地学习、重温入党誓词、过“政治生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三）创新运用信息化手段。推动党员教育信息化平台一体化建设，完善学用功能，构建更为便捷高效的网络学习阵地。建设全国党员教育资源库，建立党性教育基地网上平台，发挥全国党建网站联盟作用，用好“共产党员”教育平台、“学习强国”学习平台等载体。依托全国党员管理信息化工程，探索建立党员学习电子档案。注重党员教育信息化建设整体设计，避免重复建设。坚持线上线下相结合，探索适应信息化发展趋势和受众特点的教育培训有效方式，注重运用大数据对党员学习情况进行动态分析，精准推送教育内容，引导党员主动学网用网。中央组织部要研究制定加强新时代党员教育信息化建设的指导意见，统筹推进远程教育、电化教育、网络新媒体平台教育，提高党员教育培训现代化水平。</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四）健全培训制度。完善需求调研制度，通过问卷调查、谈心谈话、走访调研、大数据分析等方式，精准掌握党员学习需求和参训意愿。坚持集中轮训制度，各级党委（党组）每年就党员集中轮训工作作出安排，分期分批组织实施；组织基层党组织书记每年至少参加1次县级以上党委举办的集中轮训，对新任基层党组织书记一般应在半年内进行任职培训；预备党员在预备期内和转正后1年内一般要各参加1次由上级党组织组织的集中培训；大力实施农村党员春训冬训。落实学时制度，党员每年参加集中培训和集体学习时间一般不少于32学时，基层党组织书记和班子成员每年参加集中培训和集体学习时间不少于56学时、至少参加1次集中培训。党员领导干部除执行干部教育培训有关规定外，要带头参加所在单位的党员教育培训。</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i w:val="0"/>
          <w:caps w:val="0"/>
          <w:color w:val="333333"/>
          <w:spacing w:val="0"/>
          <w:sz w:val="24"/>
          <w:szCs w:val="24"/>
          <w:bdr w:val="none" w:color="auto" w:sz="0" w:space="0"/>
          <w:shd w:val="clear" w:fill="FFFFFF"/>
        </w:rPr>
        <w:t>五、组织领导和基础保障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一）落实领导责任。各级党委（党组）要认真履行党建主体责任，党委（党组）书记要履行第一责任人职责，加强对党员教育培训工作的组织领导。党支部要落实抓党员日常教育工作的直接责任。各级党员教育管理工作协调机构要落实党员教育培训联席会议制度，组织部门要发挥牵头抓总作用，相关职能部门要密切配合，形成工作合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二）夯实基础保障。各级组织部门和党员教育培训机构要建立开放式党员教育培训师资库。落实党员教育讲师聘任制，县级以上党委选聘一批政治素质过硬、实践经验丰富、理论水平较高的党员教育讲师，实行动态管理，注重发挥党员教育讲师的积极性、主动性、创造性。鼓励建立党员教育培训志愿者讲师队伍。抓好党员教育工作者专业化能力培训。充分发挥各级党校（行政学院）在党员教育培训中的主渠道、主阵地作用，县级党校（行政学校）要将党员集中培训作为重要任务。加强和规范乡镇、街道等基层党校和党员教育培训基地、现场教学点建设。利用党员活动室、党群服务中心、远程教育站点、新时代文明实践中心等开展党员日常教育培训。中央组织部要联合有关部门加强全国党员教育培训教材建设规划，组织编写新时代党员教育培训基本教材，摄制重大题材专题教育电视片，定期开展党员教育培训教材展示交流活动。各地区各部门各单位党委（党组）可结合实际，开发各具特色、务实管用的党员教育培训教材。抓好少数民族语言教材的制作和译制工作，开发民族地区党员教育培训双语教材。各级党组织要为党员推荐学习书目，提供学习资料。严格按照《中国共产党党员教育管理工作条例》有关规定，落实党员教育培训经费，保证工作需要。加大对革命老区、民族地区、边疆地区、贫困地区党员教育培训工作支持力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三）加强学风建设。各级党组织要认真落实党中央关于加强学风建设的要求，加强指导和监督，严肃工作纪律，力戒形式主义、官僚主义，防止教育培训表面化、程式化、庸俗化，防止学用脱节、空洞说教，防止不分层次对象“一刀切”、“一锅煮”，防止多头调训、重复培训、长期不训，防止检查过多、过度留痕。党员教育培训机构要坚持从严治校、从严治教、从严治学。党员要端正学习态度，严守培训纪律。党员领导干部要先学一步、学深一层，发挥示范表率作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四）严格考核评估。要将党员教育培训工作作为党委（党组）书记抓基层党建工作述职评议考核的重要内容。结合组织生活会、民主评议党员等，组织党员述学评学。将党员教育培训考核结果，作为党组织和党员评先评优的重要依据。各地区各部门各单位党委（党组）要结合实际抓好本规划的贯彻落实。中央组织部要对本规划实施情况开展中期和5年总结评估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caps w:val="0"/>
          <w:color w:val="333333"/>
          <w:spacing w:val="0"/>
          <w:sz w:val="24"/>
          <w:szCs w:val="24"/>
          <w:bdr w:val="none" w:color="auto" w:sz="0" w:space="0"/>
          <w:shd w:val="clear" w:fill="FFFFFF"/>
        </w:rPr>
        <w:t>中国人民解放军和中国人民武装警察部队的党员教育培训工作，由中央军委根据本规划精神制定实施意见。</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26E4018"/>
    <w:rsid w:val="626E40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Hyperlink"/>
    <w:basedOn w:val="5"/>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2021-05-07T02:46:00Z</dcterms:created>
  <dc:creator>Administrator</dc:creator>
  <cp:lastModifiedBy>Administrator</cp:lastModifiedBy>
  <dcterms:modified xsi:type="dcterms:W3CDTF">2021-05-07T02:47:28Z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